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88R8211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regulation of short-term rental properties by municipalities and counties; authorizing a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7, Local Government Code, is amended by adding Chapter 247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</w:t>
      </w:r>
      <w:r>
        <w:rPr>
          <w:u w:val="single"/>
        </w:rPr>
        <w:t xml:space="preserve"> </w:t>
      </w:r>
      <w:r>
        <w:rPr>
          <w:u w:val="single"/>
        </w:rPr>
        <w:t xml:space="preserve">247.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REGULATION OF SHORT-TERM RENTAL PROPERTIES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"Local law" means an ordinance, order, regulation, or similar measure adopted by a municipality or county.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"Short-term rental property" means a residential property, including a single-family dwelling or a unit in a condominium, cooperative, mixed-use development, or time-share, that is rented wholly or partly for a fee for a period not longer than 30 consecutive days.  The term does not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unit that is used for a nonresidential purpose, including an educational, health care, retail, restaurant, banquet space, or event center purpose or another similar use;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bed and breakfast;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commercial lodging establishment, including a hotel or motel, that is not taxed as residential property under Title 1, Tax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LOCAL LAWS AUTHORIZED.  A municipality or county may not adopt or enforce a local law applicable to a short-term rental property or a residential property intended to be used as a short-term rental property other than a local law that requires the owner or operator of the property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register the property as a short-term rental property, including requiring the registrant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property's owner and operator, and the owner's agent, as applicable;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the address of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pay a reasonable annual administrative fee in the amount necessary to process and administer the registration, not to exceed $100 a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 all required tax registrations, receipts, or certificates issued by the state, a county, or a municipality;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update the registration when information in the registration changes;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parking, noise, and solid waste handling and containment requirements applicable to other properties as well as short-term rental properties;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and maintain at all times a local responsible party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domiciled in this state;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resides less than 50 miles from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capable of responding, including by telephone, to a complaint or other immediate problem not later than two hours after the complaint is made or the problem arises.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LOCAL LAWS PROHIBITED.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this chapter, a municipality or county may not adopt or enforce a local law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expressly or effectively prohibits the use of a property as a short-term rental property;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regulates the duration or frequency of use of a property as a short-term rental property;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limits the number of occupants in a short-term rental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EFFECT ON HOTEL OCCUPANCY TAXES. </w:t>
      </w:r>
      <w:r>
        <w:rPr>
          <w:u w:val="single"/>
        </w:rPr>
        <w:t xml:space="preserve"> </w:t>
      </w:r>
      <w:r>
        <w:rPr>
          <w:u w:val="single"/>
        </w:rPr>
        <w:t xml:space="preserve">This chapter does not affect the authority of a municipality or county to impose a hotel occupancy tax on a person using a short-term rental property in the same manner as the tax is imposed on a person using other property the use of which is subject to the tax.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247.005.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CHAPTER.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chapter may not be construed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 regulations of a private entity, including a property owners' association as defined by Section 202.001, Property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affect residential tenancies under Chapter 92, Property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limit a property owner's rights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short-term rental property is subject to applicable federal, state, and local laws regarding rental discrimination.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is not intended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impose an additional obligation other than an obligation that exists under applicable federal, state, and local law;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 an additional cause of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